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extAlignment w:val="baseline"/>
        <w:rPr>
          <w:rFonts w:ascii="Segoe UI" w:hAnsi="Segoe UI" w:eastAsia="Times New Roman" w:cs="Segoe UI"/>
          <w:color w:val="0070C0"/>
          <w:sz w:val="18"/>
          <w:szCs w:val="18"/>
          <w:lang w:eastAsia="fr-CA"/>
        </w:rPr>
      </w:pPr>
      <w:bookmarkStart w:id="0" w:name="_GoBack"/>
      <w:bookmarkEnd w:id="0"/>
      <w:r>
        <w:rPr>
          <w:rFonts w:eastAsia="Times New Roman" w:cs="Arial"/>
          <w:b/>
          <w:bCs/>
          <w:color w:val="0070C0"/>
          <w:sz w:val="28"/>
          <w:szCs w:val="28"/>
          <w:lang w:eastAsia="fr-CA"/>
        </w:rPr>
        <w:t>La RAMQ a ajusté les tarifs du régime public d’assurance médicaments le 1</w:t>
      </w:r>
      <w:r>
        <w:rPr>
          <w:rFonts w:eastAsia="Times New Roman" w:cs="Arial"/>
          <w:b/>
          <w:bCs/>
          <w:color w:val="0070C0"/>
          <w:sz w:val="28"/>
          <w:szCs w:val="28"/>
          <w:vertAlign w:val="superscript"/>
          <w:lang w:eastAsia="fr-CA"/>
        </w:rPr>
        <w:t>er</w:t>
      </w:r>
      <w:r>
        <w:rPr>
          <w:rFonts w:eastAsia="Times New Roman" w:cs="Arial"/>
          <w:b/>
          <w:bCs/>
          <w:color w:val="0070C0"/>
          <w:sz w:val="28"/>
          <w:szCs w:val="28"/>
          <w:lang w:eastAsia="fr-CA"/>
        </w:rPr>
        <w:t xml:space="preserve"> juillet 2023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fr-CA"/>
        </w:rPr>
      </w:pPr>
      <w:r>
        <w:rPr/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fr-CA"/>
        </w:rPr>
      </w:pPr>
      <w:r>
        <w:rPr>
          <w:rFonts w:eastAsia="Times New Roman" w:cs="Arial"/>
          <w:szCs w:val="24"/>
          <w:lang w:eastAsia="fr-CA"/>
        </w:rPr>
        <w:t>Après un gel des tarifs l’an dernier, la RAMQ a ajusté certains montants à la hausse de votre contribution financière au régime public d’assurance médicaments, le 1</w:t>
      </w:r>
      <w:r>
        <w:rPr>
          <w:rFonts w:eastAsia="Times New Roman" w:cs="Arial"/>
          <w:sz w:val="19"/>
          <w:szCs w:val="19"/>
          <w:vertAlign w:val="superscript"/>
          <w:lang w:eastAsia="fr-CA"/>
        </w:rPr>
        <w:t>er</w:t>
      </w:r>
      <w:r>
        <w:rPr>
          <w:rFonts w:eastAsia="Times New Roman" w:cs="Arial"/>
          <w:szCs w:val="24"/>
          <w:lang w:eastAsia="fr-CA"/>
        </w:rPr>
        <w:t xml:space="preserve"> juillet 2023. Ces tarifs sont en vigueur jusqu’au 30 juin 2024.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fr-CA"/>
        </w:rPr>
      </w:pPr>
      <w:r>
        <w:rPr/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fr-CA"/>
        </w:rPr>
      </w:pPr>
      <w:r>
        <w:rPr>
          <w:rFonts w:eastAsia="Times New Roman" w:cs="Arial"/>
          <w:szCs w:val="24"/>
          <w:lang w:eastAsia="fr-CA"/>
        </w:rPr>
        <w:t>La</w:t>
      </w:r>
      <w:r>
        <w:rPr>
          <w:rFonts w:eastAsia="Times New Roman" w:cs="Arial"/>
          <w:b/>
          <w:bCs/>
          <w:szCs w:val="24"/>
          <w:lang w:eastAsia="fr-CA"/>
        </w:rPr>
        <w:t xml:space="preserve"> prime annuelle</w:t>
      </w:r>
      <w:r>
        <w:rPr>
          <w:rFonts w:eastAsia="Times New Roman" w:cs="Arial"/>
          <w:szCs w:val="24"/>
          <w:lang w:eastAsia="fr-CA"/>
        </w:rPr>
        <w:t xml:space="preserve"> </w:t>
      </w:r>
      <w:r>
        <w:rPr>
          <w:rFonts w:eastAsia="Times New Roman" w:cs="Arial"/>
          <w:b/>
          <w:bCs/>
          <w:szCs w:val="24"/>
          <w:lang w:eastAsia="fr-CA"/>
        </w:rPr>
        <w:t>maximale</w:t>
      </w:r>
      <w:r>
        <w:rPr>
          <w:rFonts w:eastAsia="Times New Roman" w:cs="Arial"/>
          <w:szCs w:val="24"/>
          <w:lang w:eastAsia="fr-CA"/>
        </w:rPr>
        <w:t xml:space="preserve"> qui est prélevée lors de la production de votre déclaration de revenus passe de 710$ à </w:t>
      </w:r>
      <w:r>
        <w:rPr>
          <w:rFonts w:eastAsia="Times New Roman" w:cs="Arial"/>
          <w:b/>
          <w:bCs/>
          <w:szCs w:val="24"/>
          <w:lang w:eastAsia="fr-CA"/>
        </w:rPr>
        <w:t>731$,</w:t>
      </w:r>
      <w:r>
        <w:rPr>
          <w:rFonts w:eastAsia="Times New Roman" w:cs="Arial"/>
          <w:szCs w:val="24"/>
          <w:lang w:eastAsia="fr-CA"/>
        </w:rPr>
        <w:t xml:space="preserve"> soit une augmentation de 21$ par rapport au tarif précédent.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fr-CA"/>
        </w:rPr>
      </w:pPr>
      <w:r>
        <w:rPr/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fr-CA"/>
        </w:rPr>
      </w:pPr>
      <w:r>
        <w:rPr>
          <w:rFonts w:eastAsia="Times New Roman" w:cs="Arial"/>
          <w:szCs w:val="24"/>
          <w:lang w:eastAsia="fr-CA"/>
        </w:rPr>
        <w:t xml:space="preserve">La </w:t>
      </w:r>
      <w:r>
        <w:rPr>
          <w:rFonts w:eastAsia="Times New Roman" w:cs="Arial"/>
          <w:b/>
          <w:bCs/>
          <w:szCs w:val="24"/>
          <w:lang w:eastAsia="fr-CA"/>
        </w:rPr>
        <w:t xml:space="preserve">contribution maximale </w:t>
      </w:r>
      <w:r>
        <w:rPr>
          <w:rFonts w:eastAsia="Times New Roman" w:cs="Arial"/>
          <w:szCs w:val="24"/>
          <w:lang w:eastAsia="fr-CA"/>
        </w:rPr>
        <w:t>qui est le montant maximal à payer dans un mois, pour l’achat de médicaments en pharmacie passe de 96,74$ à</w:t>
      </w:r>
      <w:r>
        <w:rPr>
          <w:rFonts w:eastAsia="Times New Roman" w:cs="Arial"/>
          <w:b/>
          <w:bCs/>
          <w:szCs w:val="24"/>
          <w:lang w:eastAsia="fr-CA"/>
        </w:rPr>
        <w:t xml:space="preserve"> 99,65$</w:t>
      </w:r>
      <w:r>
        <w:rPr>
          <w:rFonts w:eastAsia="Times New Roman" w:cs="Arial"/>
          <w:szCs w:val="24"/>
          <w:lang w:eastAsia="fr-CA"/>
        </w:rPr>
        <w:t>, soit une augmentation de 2,91$.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fr-CA"/>
        </w:rPr>
      </w:pPr>
      <w:r>
        <w:rPr/>
      </w:r>
    </w:p>
    <w:p>
      <w:pPr>
        <w:pStyle w:val="Normal"/>
        <w:textAlignment w:val="baseline"/>
        <w:rPr>
          <w:rFonts w:eastAsia="Times New Roman" w:cs="Arial"/>
          <w:b/>
          <w:b/>
          <w:bCs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 xml:space="preserve">La </w:t>
      </w:r>
      <w:r>
        <w:rPr>
          <w:rFonts w:eastAsia="Times New Roman" w:cs="Arial"/>
          <w:b/>
          <w:bCs/>
          <w:szCs w:val="24"/>
          <w:lang w:eastAsia="fr-CA"/>
        </w:rPr>
        <w:t>franchise mensuelle</w:t>
      </w:r>
      <w:r>
        <w:rPr>
          <w:rFonts w:eastAsia="Times New Roman" w:cs="Arial"/>
          <w:szCs w:val="24"/>
          <w:lang w:eastAsia="fr-CA"/>
        </w:rPr>
        <w:t xml:space="preserve"> à payer lors d’un achat de médicaments en pharmacie augmente de 0,65$, passant de 22,25$ à </w:t>
      </w:r>
      <w:r>
        <w:rPr>
          <w:rFonts w:eastAsia="Times New Roman" w:cs="Arial"/>
          <w:b/>
          <w:bCs/>
          <w:szCs w:val="24"/>
          <w:lang w:eastAsia="fr-CA"/>
        </w:rPr>
        <w:t>22,90$</w:t>
      </w:r>
    </w:p>
    <w:p>
      <w:pPr>
        <w:pStyle w:val="Normal"/>
        <w:textAlignment w:val="baseline"/>
        <w:rPr>
          <w:rFonts w:eastAsia="Times New Roman" w:cs="Arial"/>
          <w:b/>
          <w:b/>
          <w:bCs/>
          <w:szCs w:val="24"/>
          <w:lang w:eastAsia="fr-CA"/>
        </w:rPr>
      </w:pPr>
      <w:r>
        <w:rPr>
          <w:rFonts w:eastAsia="Times New Roman" w:cs="Arial"/>
          <w:b/>
          <w:bCs/>
          <w:szCs w:val="24"/>
          <w:lang w:eastAsia="fr-CA"/>
        </w:rPr>
      </w:r>
    </w:p>
    <w:p>
      <w:pPr>
        <w:pStyle w:val="Normal"/>
        <w:textAlignment w:val="baseline"/>
        <w:rPr>
          <w:rFonts w:eastAsia="Times New Roman" w:cs="Arial"/>
          <w:b/>
          <w:b/>
          <w:bCs/>
          <w:color w:val="0070C0"/>
          <w:szCs w:val="24"/>
          <w:lang w:eastAsia="fr-CA"/>
        </w:rPr>
      </w:pPr>
      <w:r>
        <w:rPr>
          <w:rFonts w:eastAsia="Times New Roman" w:cs="Arial"/>
          <w:b/>
          <w:bCs/>
          <w:color w:val="0070C0"/>
          <w:szCs w:val="24"/>
          <w:lang w:eastAsia="fr-CA"/>
        </w:rPr>
        <w:t>Baisse du tarif de la coassurance</w:t>
      </w:r>
    </w:p>
    <w:p>
      <w:pPr>
        <w:pStyle w:val="Normal"/>
        <w:textAlignment w:val="baseline"/>
        <w:rPr>
          <w:rFonts w:eastAsia="Times New Roman" w:cs="Arial"/>
          <w:b/>
          <w:b/>
          <w:bCs/>
          <w:szCs w:val="24"/>
          <w:lang w:eastAsia="fr-CA"/>
        </w:rPr>
      </w:pPr>
      <w:r>
        <w:rPr>
          <w:rFonts w:eastAsia="Times New Roman" w:cs="Arial"/>
          <w:b/>
          <w:bCs/>
          <w:szCs w:val="24"/>
          <w:lang w:eastAsia="fr-CA"/>
        </w:rPr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fr-CA"/>
        </w:rPr>
      </w:pPr>
      <w:r>
        <w:rPr>
          <w:rFonts w:eastAsia="Times New Roman" w:cs="Arial"/>
          <w:szCs w:val="24"/>
          <w:lang w:eastAsia="fr-CA"/>
        </w:rPr>
        <w:t xml:space="preserve">La </w:t>
      </w:r>
      <w:r>
        <w:rPr>
          <w:rFonts w:eastAsia="Times New Roman" w:cs="Arial"/>
          <w:b/>
          <w:bCs/>
          <w:szCs w:val="24"/>
          <w:lang w:eastAsia="fr-CA"/>
        </w:rPr>
        <w:t xml:space="preserve">coassurance </w:t>
      </w:r>
      <w:r>
        <w:rPr>
          <w:rFonts w:eastAsia="Times New Roman" w:cs="Arial"/>
          <w:szCs w:val="24"/>
          <w:lang w:eastAsia="fr-CA"/>
        </w:rPr>
        <w:t>est le</w:t>
      </w:r>
      <w:r>
        <w:rPr>
          <w:rFonts w:eastAsia="Times New Roman" w:cs="Arial"/>
          <w:b/>
          <w:bCs/>
          <w:szCs w:val="24"/>
          <w:lang w:eastAsia="fr-CA"/>
        </w:rPr>
        <w:t xml:space="preserve"> </w:t>
      </w:r>
      <w:r>
        <w:rPr>
          <w:rFonts w:eastAsia="Times New Roman" w:cs="Arial"/>
          <w:szCs w:val="24"/>
          <w:lang w:eastAsia="fr-CA"/>
        </w:rPr>
        <w:t>pourcentage du coût du médicament que vous devez assumer une fois la franchise enlevée. Elle subit, quant à elle, une baisse de 2%, passant de 35% à</w:t>
      </w:r>
      <w:r>
        <w:rPr>
          <w:rFonts w:eastAsia="Times New Roman" w:cs="Arial"/>
          <w:b/>
          <w:bCs/>
          <w:szCs w:val="24"/>
          <w:lang w:eastAsia="fr-CA"/>
        </w:rPr>
        <w:t xml:space="preserve"> 33% </w:t>
      </w:r>
      <w:r>
        <w:rPr>
          <w:rFonts w:eastAsia="Times New Roman" w:cs="Arial"/>
          <w:szCs w:val="24"/>
          <w:lang w:eastAsia="fr-CA"/>
        </w:rPr>
        <w:t xml:space="preserve">puisque la RAMQ rembourse dorénavant 67% du coût des médicaments. Elle remboursait 65% l’an dernier. </w:t>
      </w:r>
    </w:p>
    <w:p>
      <w:pPr>
        <w:pStyle w:val="Normal"/>
        <w:textAlignment w:val="baseline"/>
        <w:rPr>
          <w:rFonts w:ascii="Segoe UI" w:hAnsi="Segoe UI" w:eastAsia="Times New Roman" w:cs="Segoe UI"/>
          <w:sz w:val="18"/>
          <w:szCs w:val="18"/>
          <w:lang w:eastAsia="fr-CA"/>
        </w:rPr>
      </w:pPr>
      <w:r>
        <w:rPr/>
      </w:r>
    </w:p>
    <w:tbl>
      <w:tblPr>
        <w:tblW w:w="8624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 w:noHBand="0" w:noVBand="1" w:firstColumn="1" w:lastRow="0" w:lastColumn="0" w:firstRow="1"/>
      </w:tblPr>
      <w:tblGrid>
        <w:gridCol w:w="851"/>
        <w:gridCol w:w="1219"/>
        <w:gridCol w:w="837"/>
        <w:gridCol w:w="1219"/>
        <w:gridCol w:w="917"/>
        <w:gridCol w:w="1273"/>
        <w:gridCol w:w="1074"/>
        <w:gridCol w:w="1233"/>
      </w:tblGrid>
      <w:tr>
        <w:trPr>
          <w:trHeight w:val="840" w:hRule="atLeast"/>
        </w:trPr>
        <w:tc>
          <w:tcPr>
            <w:tcW w:w="8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b/>
                <w:bCs/>
                <w:kern w:val="2"/>
                <w:szCs w:val="24"/>
                <w:lang w:eastAsia="fr-CA"/>
                <w14:ligatures w14:val="standardContextual"/>
              </w:rPr>
              <w:t>Adultes non admissibles à un régime privé</w:t>
            </w:r>
          </w:p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b/>
                <w:bCs/>
                <w:kern w:val="2"/>
                <w:szCs w:val="24"/>
                <w:lang w:eastAsia="fr-CA"/>
                <w14:ligatures w14:val="standardContextual"/>
              </w:rPr>
              <w:t>Personnes de 65 ans ou plus sans SRG</w:t>
            </w:r>
          </w:p>
        </w:tc>
      </w:tr>
      <w:tr>
        <w:trPr>
          <w:trHeight w:val="525" w:hRule="atLeast"/>
        </w:trPr>
        <w:tc>
          <w:tcPr>
            <w:tcW w:w="8623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Tarif en vigueur</w:t>
            </w:r>
            <w:r>
              <w:rPr>
                <w:rFonts w:eastAsia="Times New Roman" w:cs="Arial"/>
                <w:b/>
                <w:bCs/>
                <w:kern w:val="2"/>
                <w:szCs w:val="24"/>
                <w:lang w:eastAsia="fr-CA"/>
                <w14:ligatures w14:val="standardContextual"/>
              </w:rPr>
              <w:t xml:space="preserve"> avant</w:t>
            </w: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 xml:space="preserve"> et</w:t>
            </w:r>
            <w:r>
              <w:rPr>
                <w:rFonts w:eastAsia="Times New Roman" w:cs="Arial"/>
                <w:b/>
                <w:bCs/>
                <w:kern w:val="2"/>
                <w:szCs w:val="24"/>
                <w:lang w:eastAsia="fr-CA"/>
                <w14:ligatures w14:val="standardContextual"/>
              </w:rPr>
              <w:t xml:space="preserve"> à partir </w:t>
            </w: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du 1</w:t>
            </w:r>
            <w:r>
              <w:rPr>
                <w:rFonts w:eastAsia="Times New Roman" w:cs="Arial"/>
                <w:kern w:val="2"/>
                <w:sz w:val="19"/>
                <w:szCs w:val="19"/>
                <w:vertAlign w:val="superscript"/>
                <w:lang w:eastAsia="fr-CA"/>
                <w14:ligatures w14:val="standardContextual"/>
              </w:rPr>
              <w:t>er</w:t>
            </w: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 xml:space="preserve"> juillet 2023</w:t>
            </w:r>
          </w:p>
        </w:tc>
      </w:tr>
      <w:tr>
        <w:trPr>
          <w:trHeight w:val="525" w:hRule="atLeast"/>
        </w:trPr>
        <w:tc>
          <w:tcPr>
            <w:tcW w:w="631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À la pharmacie</w:t>
            </w:r>
          </w:p>
        </w:tc>
        <w:tc>
          <w:tcPr>
            <w:tcW w:w="23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Lors de la déclaration de revenus</w:t>
            </w:r>
          </w:p>
        </w:tc>
      </w:tr>
      <w:tr>
        <w:trPr>
          <w:trHeight w:val="660" w:hRule="atLeast"/>
        </w:trPr>
        <w:tc>
          <w:tcPr>
            <w:tcW w:w="20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Franchise mensuelle</w:t>
            </w:r>
          </w:p>
        </w:tc>
        <w:tc>
          <w:tcPr>
            <w:tcW w:w="20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Coassurance</w:t>
            </w:r>
          </w:p>
        </w:tc>
        <w:tc>
          <w:tcPr>
            <w:tcW w:w="21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Contribution mensuelle maximale</w:t>
            </w:r>
          </w:p>
        </w:tc>
        <w:tc>
          <w:tcPr>
            <w:tcW w:w="23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Prime annuelle</w:t>
            </w:r>
          </w:p>
        </w:tc>
      </w:tr>
      <w:tr>
        <w:trPr>
          <w:trHeight w:val="615" w:hRule="atLeast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Avant</w:t>
            </w:r>
          </w:p>
        </w:tc>
        <w:tc>
          <w:tcPr>
            <w:tcW w:w="121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b/>
                <w:bCs/>
                <w:kern w:val="2"/>
                <w:szCs w:val="24"/>
                <w:lang w:eastAsia="fr-CA"/>
                <w14:ligatures w14:val="standardContextual"/>
              </w:rPr>
              <w:t>Nouveau tarif</w:t>
            </w:r>
          </w:p>
        </w:tc>
        <w:tc>
          <w:tcPr>
            <w:tcW w:w="8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Avant</w:t>
            </w:r>
          </w:p>
        </w:tc>
        <w:tc>
          <w:tcPr>
            <w:tcW w:w="121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b/>
                <w:bCs/>
                <w:kern w:val="2"/>
                <w:szCs w:val="24"/>
                <w:lang w:eastAsia="fr-CA"/>
                <w14:ligatures w14:val="standardContextual"/>
              </w:rPr>
              <w:t>Nouveau tarif</w:t>
            </w:r>
          </w:p>
        </w:tc>
        <w:tc>
          <w:tcPr>
            <w:tcW w:w="91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Avant</w:t>
            </w:r>
          </w:p>
        </w:tc>
        <w:tc>
          <w:tcPr>
            <w:tcW w:w="127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b/>
                <w:bCs/>
                <w:kern w:val="2"/>
                <w:szCs w:val="24"/>
                <w:lang w:eastAsia="fr-CA"/>
                <w14:ligatures w14:val="standardContextual"/>
              </w:rPr>
              <w:t>Nouveau tarif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Avant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b/>
                <w:bCs/>
                <w:kern w:val="2"/>
                <w:szCs w:val="24"/>
                <w:lang w:eastAsia="fr-CA"/>
                <w14:ligatures w14:val="standardContextual"/>
              </w:rPr>
              <w:t>Nouveau tarif</w:t>
            </w:r>
          </w:p>
        </w:tc>
      </w:tr>
      <w:tr>
        <w:trPr>
          <w:trHeight w:val="570" w:hRule="atLeast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 w:val="23"/>
                <w:szCs w:val="23"/>
                <w:lang w:eastAsia="fr-CA"/>
                <w14:ligatures w14:val="standardContextual"/>
              </w:rPr>
              <w:t>22,25 $ </w:t>
            </w:r>
          </w:p>
        </w:tc>
        <w:tc>
          <w:tcPr>
            <w:tcW w:w="12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b/>
                <w:bCs/>
                <w:kern w:val="2"/>
                <w:szCs w:val="24"/>
                <w:lang w:eastAsia="fr-CA"/>
                <w14:ligatures w14:val="standardContextual"/>
              </w:rPr>
              <w:t>22,90 $</w:t>
            </w:r>
          </w:p>
        </w:tc>
        <w:tc>
          <w:tcPr>
            <w:tcW w:w="8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35%</w:t>
            </w:r>
          </w:p>
        </w:tc>
        <w:tc>
          <w:tcPr>
            <w:tcW w:w="12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b/>
                <w:bCs/>
                <w:kern w:val="2"/>
                <w:szCs w:val="24"/>
                <w:lang w:eastAsia="fr-CA"/>
                <w14:ligatures w14:val="standardContextual"/>
              </w:rPr>
              <w:t>33%</w:t>
            </w:r>
          </w:p>
        </w:tc>
        <w:tc>
          <w:tcPr>
            <w:tcW w:w="9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96,74 $</w:t>
            </w:r>
          </w:p>
        </w:tc>
        <w:tc>
          <w:tcPr>
            <w:tcW w:w="127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b/>
                <w:bCs/>
                <w:kern w:val="2"/>
                <w:szCs w:val="24"/>
                <w:lang w:eastAsia="fr-CA"/>
                <w14:ligatures w14:val="standardContextual"/>
              </w:rPr>
              <w:t>99,65 $</w:t>
            </w: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*</w:t>
            </w:r>
          </w:p>
        </w:tc>
        <w:tc>
          <w:tcPr>
            <w:tcW w:w="10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De 0 $ à</w:t>
            </w:r>
          </w:p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kern w:val="2"/>
                <w:szCs w:val="24"/>
                <w:lang w:eastAsia="fr-CA"/>
                <w14:ligatures w14:val="standardContextual"/>
              </w:rPr>
              <w:t>710 $</w:t>
            </w:r>
          </w:p>
        </w:tc>
        <w:tc>
          <w:tcPr>
            <w:tcW w:w="123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4"/>
                <w:lang w:eastAsia="fr-CA"/>
                <w14:ligatures w14:val="standardContextual"/>
              </w:rPr>
            </w:pPr>
            <w:r>
              <w:rPr>
                <w:rFonts w:eastAsia="Times New Roman" w:cs="Arial"/>
                <w:b/>
                <w:bCs/>
                <w:kern w:val="2"/>
                <w:szCs w:val="24"/>
                <w:lang w:eastAsia="fr-CA"/>
                <w14:ligatures w14:val="standardContextual"/>
              </w:rPr>
              <w:t>De 0 $ à 731 $</w:t>
            </w:r>
          </w:p>
        </w:tc>
      </w:tr>
    </w:tbl>
    <w:p>
      <w:pPr>
        <w:pStyle w:val="Normal"/>
        <w:textAlignment w:val="baseline"/>
        <w:rPr>
          <w:rFonts w:ascii="Segoe UI" w:hAnsi="Segoe UI" w:eastAsia="Times New Roman" w:cs="Segoe UI"/>
          <w:sz w:val="16"/>
          <w:szCs w:val="16"/>
          <w:lang w:eastAsia="fr-CA"/>
        </w:rPr>
      </w:pPr>
      <w:r>
        <w:rPr>
          <w:rFonts w:eastAsia="Times New Roman" w:cs="Arial"/>
          <w:sz w:val="16"/>
          <w:szCs w:val="16"/>
          <w:lang w:eastAsia="fr-CA"/>
        </w:rPr>
        <w:t>*Pour les personnes de 65 ans ou plus recevant 93% ou moins du Supplément de revenu garanti maximal (SRG), la contribution mensuelle maximale est 56,17$.</w:t>
      </w:r>
    </w:p>
    <w:p>
      <w:pPr>
        <w:pStyle w:val="Normal"/>
        <w:textAlignment w:val="baseline"/>
        <w:rPr>
          <w:rFonts w:ascii="Segoe UI" w:hAnsi="Segoe UI" w:eastAsia="Times New Roman" w:cs="Segoe UI"/>
          <w:sz w:val="16"/>
          <w:szCs w:val="16"/>
          <w:lang w:eastAsia="fr-CA"/>
        </w:rPr>
      </w:pPr>
      <w:r>
        <w:rPr/>
      </w:r>
    </w:p>
    <w:p>
      <w:pPr>
        <w:pStyle w:val="Normal"/>
        <w:textAlignment w:val="baseline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Pour de plus d’information concernant le régime public d'assurance médicaments de la RAMQ, visitez le site Web de la RAMQ au ramq.gouv.qc.ca</w:t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1800" w:right="1800" w:gutter="0" w:header="708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59c6"/>
    <w:pPr>
      <w:widowControl/>
      <w:bidi w:val="0"/>
      <w:spacing w:lineRule="auto" w:line="240" w:before="0" w:after="0"/>
      <w:jc w:val="both"/>
    </w:pPr>
    <w:rPr>
      <w:rFonts w:ascii="Arial" w:hAnsi="Arial" w:eastAsia="Calibri" w:cs=""/>
      <w:color w:val="auto"/>
      <w:kern w:val="0"/>
      <w:sz w:val="24"/>
      <w:szCs w:val="22"/>
      <w:lang w:val="fr-CA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Header"/>
    <w:uiPriority w:val="99"/>
    <w:qFormat/>
    <w:rsid w:val="00a159c6"/>
    <w:rPr>
      <w:rFonts w:ascii="Arial" w:hAnsi="Arial"/>
      <w:kern w:val="0"/>
      <w:sz w:val="24"/>
      <w14:ligatures w14:val="none"/>
    </w:rPr>
  </w:style>
  <w:style w:type="character" w:styleId="PieddepageCar" w:customStyle="1">
    <w:name w:val="Pied de page Car"/>
    <w:basedOn w:val="DefaultParagraphFont"/>
    <w:link w:val="Footer"/>
    <w:uiPriority w:val="99"/>
    <w:qFormat/>
    <w:rsid w:val="00a159c6"/>
    <w:rPr>
      <w:rFonts w:ascii="Arial" w:hAnsi="Arial"/>
      <w:kern w:val="0"/>
      <w:sz w:val="24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tteCar"/>
    <w:uiPriority w:val="99"/>
    <w:unhideWhenUsed/>
    <w:rsid w:val="00a159c6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a159c6"/>
    <w:pPr>
      <w:tabs>
        <w:tab w:val="clear" w:pos="708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LibreOffice/7.4.6.2$Linux_X86_64 LibreOffice_project/40$Build-2</Application>
  <AppVersion>15.0000</AppVersion>
  <Pages>1</Pages>
  <Words>310</Words>
  <Characters>1503</Characters>
  <CharactersWithSpaces>1780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2023-07-21T20:53:00Z</dcterms:created>
  <dc:creator>Johanne Freire</dc:creator>
  <dc:description/>
  <dc:language>fr-CA</dc:language>
  <cp:lastModifiedBy/>
  <dcterms:modified xsi:type="dcterms:W3CDTF">2023-07-21T17:17:50Z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